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7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79"/>
        <w:gridCol w:w="501"/>
        <w:gridCol w:w="871"/>
        <w:gridCol w:w="3401"/>
        <w:gridCol w:w="500"/>
        <w:gridCol w:w="948"/>
        <w:gridCol w:w="324"/>
        <w:gridCol w:w="306"/>
        <w:gridCol w:w="1191"/>
        <w:gridCol w:w="879"/>
        <w:gridCol w:w="652"/>
        <w:gridCol w:w="1508"/>
        <w:gridCol w:w="7"/>
      </w:tblGrid>
      <w:tr w:rsidR="00107010" w:rsidRPr="000E64D6" w:rsidTr="00107010">
        <w:trPr>
          <w:trHeight w:val="420"/>
        </w:trPr>
        <w:tc>
          <w:tcPr>
            <w:tcW w:w="11167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E64D6">
              <w:rPr>
                <w:rFonts w:ascii="Arial" w:hAnsi="Arial" w:cs="Arial"/>
                <w:b/>
                <w:bCs/>
                <w:color w:val="000000"/>
              </w:rPr>
              <w:t>Попуњава</w:t>
            </w:r>
            <w:proofErr w:type="spellEnd"/>
            <w:r w:rsidRPr="000E64D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E64D6">
              <w:rPr>
                <w:rFonts w:ascii="Arial" w:hAnsi="Arial" w:cs="Arial"/>
                <w:b/>
                <w:bCs/>
                <w:color w:val="000000"/>
              </w:rPr>
              <w:t>Народна</w:t>
            </w:r>
            <w:proofErr w:type="spellEnd"/>
            <w:r w:rsidRPr="000E64D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E64D6">
              <w:rPr>
                <w:rFonts w:ascii="Arial" w:hAnsi="Arial" w:cs="Arial"/>
                <w:b/>
                <w:bCs/>
                <w:color w:val="000000"/>
              </w:rPr>
              <w:t>банка</w:t>
            </w:r>
            <w:proofErr w:type="spellEnd"/>
            <w:r w:rsidRPr="000E64D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E64D6">
              <w:rPr>
                <w:rFonts w:ascii="Arial" w:hAnsi="Arial" w:cs="Arial"/>
                <w:b/>
                <w:bCs/>
                <w:color w:val="000000"/>
              </w:rPr>
              <w:t>Србије</w:t>
            </w:r>
            <w:proofErr w:type="spellEnd"/>
          </w:p>
        </w:tc>
      </w:tr>
      <w:tr w:rsidR="00107010" w:rsidRPr="000E64D6" w:rsidTr="00107010">
        <w:trPr>
          <w:trHeight w:val="319"/>
        </w:trPr>
        <w:tc>
          <w:tcPr>
            <w:tcW w:w="14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107010" w:rsidRPr="000E64D6" w:rsidRDefault="007A3A06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64D6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5832A" wp14:editId="3F65B4AE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</wp:posOffset>
                      </wp:positionV>
                      <wp:extent cx="2114550" cy="2000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010" w:rsidRPr="005479A2" w:rsidRDefault="00107010" w:rsidP="0010701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583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2pt;margin-top:.05pt;width:16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" strokeweight="1.5pt">
                      <v:textbox>
                        <w:txbxContent>
                          <w:p w:rsidR="00107010" w:rsidRPr="005479A2" w:rsidRDefault="00107010" w:rsidP="0010701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07010" w:rsidRPr="000E64D6" w:rsidRDefault="007A3A06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64D6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D1498F" wp14:editId="66FFBE53">
                      <wp:simplePos x="0" y="0"/>
                      <wp:positionH relativeFrom="column">
                        <wp:posOffset>2035810</wp:posOffset>
                      </wp:positionH>
                      <wp:positionV relativeFrom="paragraph">
                        <wp:posOffset>-5715</wp:posOffset>
                      </wp:positionV>
                      <wp:extent cx="1200150" cy="20002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010" w:rsidRPr="005479A2" w:rsidRDefault="00107010" w:rsidP="0010701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1498F" id="_x0000_s1027" type="#_x0000_t202" style="position:absolute;left:0;text-align:left;margin-left:160.3pt;margin-top:-.45pt;width:94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" strokeweight="1.5pt">
                      <v:textbox>
                        <w:txbxContent>
                          <w:p w:rsidR="00107010" w:rsidRPr="005479A2" w:rsidRDefault="00107010" w:rsidP="0010701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07010" w:rsidRPr="000E64D6" w:rsidRDefault="007A3A06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E64D6">
              <w:rPr>
                <w:rFonts w:ascii="Arial" w:hAnsi="Arial" w:cs="Arial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356C03" wp14:editId="287DA494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1270</wp:posOffset>
                      </wp:positionV>
                      <wp:extent cx="2114550" cy="2000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010" w:rsidRPr="005479A2" w:rsidRDefault="00107010" w:rsidP="0010701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56C03" id="_x0000_s1028" type="#_x0000_t202" style="position:absolute;left:0;text-align:left;margin-left:41.55pt;margin-top:.1pt;width:16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" strokeweight="1.5pt">
                      <v:textbox>
                        <w:txbxContent>
                          <w:p w:rsidR="00107010" w:rsidRPr="005479A2" w:rsidRDefault="00107010" w:rsidP="0010701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07010" w:rsidRPr="000E64D6" w:rsidTr="00107010">
        <w:trPr>
          <w:trHeight w:val="290"/>
        </w:trPr>
        <w:tc>
          <w:tcPr>
            <w:tcW w:w="1116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0E64D6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          Матични број                                     Шифра делатности                                   ПИБ</w:t>
            </w:r>
          </w:p>
        </w:tc>
      </w:tr>
      <w:tr w:rsidR="00107010" w:rsidRPr="000E64D6" w:rsidTr="00107010">
        <w:trPr>
          <w:trHeight w:val="305"/>
        </w:trPr>
        <w:tc>
          <w:tcPr>
            <w:tcW w:w="11167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0E64D6">
              <w:rPr>
                <w:rFonts w:ascii="Arial" w:hAnsi="Arial" w:cs="Arial"/>
                <w:b/>
                <w:bCs/>
                <w:color w:val="000000"/>
                <w:lang w:val="ru-RU"/>
              </w:rPr>
              <w:t xml:space="preserve">   </w:t>
            </w:r>
            <w:proofErr w:type="spellStart"/>
            <w:r w:rsidRPr="000E64D6">
              <w:rPr>
                <w:rFonts w:ascii="Arial" w:hAnsi="Arial" w:cs="Arial"/>
                <w:b/>
                <w:bCs/>
                <w:color w:val="000000"/>
              </w:rPr>
              <w:t>Седиште</w:t>
            </w:r>
            <w:proofErr w:type="spellEnd"/>
            <w:r w:rsidRPr="000E64D6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107010" w:rsidRPr="000E64D6" w:rsidTr="00107010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60"/>
        </w:trPr>
        <w:tc>
          <w:tcPr>
            <w:tcW w:w="11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ИЗВЕШТАЈ О ТОКОВИМА ГОТОВИНЕ</w:t>
            </w:r>
          </w:p>
        </w:tc>
      </w:tr>
      <w:tr w:rsidR="00107010" w:rsidRPr="000E64D6" w:rsidTr="00107010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270"/>
        </w:trPr>
        <w:tc>
          <w:tcPr>
            <w:tcW w:w="110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E64D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у </w:t>
            </w: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</w:rPr>
              <w:t>периоду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</w:rPr>
              <w:t>од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________ </w:t>
            </w: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</w:rPr>
              <w:t>до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_________ </w:t>
            </w:r>
          </w:p>
        </w:tc>
      </w:tr>
      <w:tr w:rsidR="00107010" w:rsidRPr="000E64D6" w:rsidTr="00D37E01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270"/>
        </w:trPr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7010" w:rsidRPr="000E64D6" w:rsidRDefault="00107010" w:rsidP="001070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(у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хиљадама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динара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) </w:t>
            </w: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00"/>
        </w:trPr>
        <w:tc>
          <w:tcPr>
            <w:tcW w:w="62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ПОЗИЦИЈА 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A22ADD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="00107010"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АОП </w:t>
            </w:r>
          </w:p>
        </w:tc>
        <w:tc>
          <w:tcPr>
            <w:tcW w:w="4230" w:type="dxa"/>
            <w:gridSpan w:val="4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00"/>
        </w:trPr>
        <w:tc>
          <w:tcPr>
            <w:tcW w:w="6221" w:type="dxa"/>
            <w:gridSpan w:val="5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210"/>
        </w:trPr>
        <w:tc>
          <w:tcPr>
            <w:tcW w:w="6221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278"/>
        </w:trPr>
        <w:tc>
          <w:tcPr>
            <w:tcW w:w="501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ТОКОВИ ГОТОВИНЕ ИЗ ПОСЛОВНИХ АКТИВНОСТИ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0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B359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26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I. 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Приливи готовине из пословних активности (од 3002 до 3005) </w:t>
            </w:r>
          </w:p>
        </w:tc>
        <w:tc>
          <w:tcPr>
            <w:tcW w:w="6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Приливи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камата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Приливи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накнада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Приливи по основу осталих пословних активности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Приливи од дивиденди и учешћа у добитку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51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II. 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Одливи готовине из пословних активности (од 3007 до 3009)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3006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Одливи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основу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камата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Одливи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основу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накнада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Одливи по основу трошкова пословања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548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III. 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Нето прилив готовине из пословних активности пре повећања или смањења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финансијских средстава и финансијских обавеза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(3001 - 3006)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45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IV. 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Нето одлив готовине из пословних активности пре повећања или смањења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финансијских средстава и финансијских обавеза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(3006 - 3001)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45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V. 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Смањење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финансијских средстава и повећање финансијских обавеза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(од 3013 до 3018)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45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Смањење кредита и потраживања од банака, других финансијских организација, државе и других депонената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3013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75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Смањење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потраживања по основу хартија од вредности и осталих финансијских средстава која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нису намењени инвестирању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67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Смањење потраживања по основу деривата намењених заштити од ризика и промене фер вредности ставки које су предмет заштите од ризика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57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Повећање депозита и осталих обавеза према банкама, другим финансијским организацијама, држави и другим депонентима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62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Повећање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других 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финансијских обавеза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3017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67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Повећање обавеза по основу деривата намењених заштити од ризика и промене фер вредности ставки које су предмет заштите од ризика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45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Повећање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финансијских средстава и смањење финансијских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обавеза (од 3020 до 3025)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3019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45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Повећање кредита и потраживања од банака, других финансијских организација, државе и других депонената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3020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827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59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Повећање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потраживања по основу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хартија од вредности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и осталих финансијских средстава која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нису намењен</w:t>
            </w:r>
            <w:r w:rsidR="0059342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инвестирању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3021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67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Повећање потраживања по основу деривата намењених заштити од ризика и промене фер вредности ставки које су предмет заштите од ризика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45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Смањење депозита и осталих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финансијских 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обавеза према банкама, другим финансијским организацијама, држави и другим депонентима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3023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07010" w:rsidRPr="000E64D6" w:rsidTr="00A22ADD">
        <w:tblPrEx>
          <w:tblCellMar>
            <w:right w:w="29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" w:type="dxa"/>
          <w:wAfter w:w="7" w:type="dxa"/>
          <w:trHeight w:val="69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  <w:r w:rsidR="00997B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Смањење </w:t>
            </w:r>
            <w:r w:rsidR="00A22ADD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других 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финансијских обавеза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07010" w:rsidRPr="000E64D6" w:rsidRDefault="00107010" w:rsidP="001070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3024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07010" w:rsidRPr="000E64D6" w:rsidRDefault="00107010" w:rsidP="00D8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107010" w:rsidRPr="000E64D6" w:rsidRDefault="00107010" w:rsidP="0010701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107010" w:rsidRPr="000E64D6" w:rsidSect="00107010">
          <w:pgSz w:w="11906" w:h="16838"/>
          <w:pgMar w:top="360" w:right="1440" w:bottom="450" w:left="1440" w:header="720" w:footer="720" w:gutter="0"/>
          <w:cols w:space="720"/>
          <w:docGrid w:linePitch="360"/>
        </w:sectPr>
      </w:pPr>
    </w:p>
    <w:tbl>
      <w:tblPr>
        <w:tblW w:w="11081" w:type="dxa"/>
        <w:tblInd w:w="-97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1"/>
        <w:gridCol w:w="5720"/>
        <w:gridCol w:w="630"/>
        <w:gridCol w:w="2070"/>
        <w:gridCol w:w="2160"/>
      </w:tblGrid>
      <w:tr w:rsidR="00A22ADD" w:rsidRPr="000E64D6" w:rsidTr="00A22ADD">
        <w:trPr>
          <w:trHeight w:val="225"/>
        </w:trPr>
        <w:tc>
          <w:tcPr>
            <w:tcW w:w="62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ПОЗИЦИЈА 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Cyrl-RS"/>
              </w:rPr>
              <w:t xml:space="preserve">Ознака за </w:t>
            </w:r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АОП </w:t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22ADD" w:rsidRPr="000E64D6" w:rsidTr="00A22ADD">
        <w:trPr>
          <w:trHeight w:val="225"/>
        </w:trPr>
        <w:tc>
          <w:tcPr>
            <w:tcW w:w="6221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година</w:t>
            </w:r>
            <w:proofErr w:type="spellEnd"/>
            <w:r w:rsidRPr="000E64D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A22ADD" w:rsidRPr="000E64D6" w:rsidTr="00A22ADD">
        <w:trPr>
          <w:trHeight w:val="240"/>
        </w:trPr>
        <w:tc>
          <w:tcPr>
            <w:tcW w:w="62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A22ADD" w:rsidRPr="000E64D6" w:rsidTr="00A22ADD">
        <w:trPr>
          <w:trHeight w:val="512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Смањење обавеза по основу деривата намењених заштити од ризика и промене фер вредности ставки које су предмет заштите од ризика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45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прилив готовине из пословних активности пре пореза на добит (3010 - 3011 + 3012 - 3019)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45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VIII.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одлив готовине из пословних активности пре пореза на добит (3011 - 3010 + 3019 - 3012)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87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Плаћени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порез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добит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Пренос у Буџет Републике Србије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IX.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прилив готовине из пословних активности (3026 - 3027 - 3028 - 3029)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5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одлив готовине из пословних активности (3029 + 3028 + 3027 - 3026)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15"/>
        </w:trPr>
        <w:tc>
          <w:tcPr>
            <w:tcW w:w="501" w:type="dxa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Б.</w:t>
            </w:r>
          </w:p>
        </w:tc>
        <w:tc>
          <w:tcPr>
            <w:tcW w:w="57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ТОКОВИ ГОТОВИНЕ ИЗ АКТИВНОСТИ ИНВЕСТИРАЊА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98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Приливи готовине из активности инвестирања (од 3033 до 3037) 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Приливи од улагања у инвестиционе хартије од вредности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Приливи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продаје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инвестиција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68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Приливи од продаје нематеријалн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е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имовине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, некретнина, постројења и опреме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Приливи од продаје инвестиционих некретнина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Остали приливи из активности инвестирања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78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Одливи готовине из активности инвестирања (од 3039 до 3043)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42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Одливи по основу улагања у инвестиционе хартије од вредности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Одливи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куповину</w:t>
            </w:r>
            <w:proofErr w:type="spellEnd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инвестиција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413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Одливи за куповину нематеријалн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е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имовине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, некретнина, постројења и опреме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Одливи по основу набавке инвестиционих некретнина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Остали одливи из активности инвестирања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87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прилив готовине из активности инвестирања (3032 - 3038)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78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Нето одлив готовине из активности инвестирања (3038 - 3032)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422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В.</w:t>
            </w:r>
          </w:p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ТОКОВИ ГОТОВИНЕ ИЗ АКТИВНОСТИ ФИНАНСИРАЊА </w:t>
            </w:r>
          </w:p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Приливи готовине из активности финансирања (од 3047 до 3049)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Приливи готовине по основу узетих кредита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78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Приливи готовине по основу издатих хартија од вредности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6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Остали приливи из активности финансирања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6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Одливи готовине из активности финансирања (од 3051 до 3053)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Одливи готовине по основу узетих кредита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F27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Одливи готовине по </w:t>
            </w:r>
            <w:bookmarkStart w:id="0" w:name="_GoBack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основу издатих хартија </w:t>
            </w:r>
            <w:bookmarkEnd w:id="0"/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од вредности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Остали одливи из активности финансирања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1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III.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Нето прилив готовине из активности финансирања (3046 - 3050)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1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IV.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Нето одлив готовине из активности финансирања (3050 - 3046)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87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Г.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СВЕГА ПРИЛИВИ ГОТОВИНЕ (3001 + 3012 + 3032 + 3046)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242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СВЕГА ОДЛИВИ ГОТОВИНЕ (3006 + 3019 + 3028 + 3029 + 3038 + 3050)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Ђ.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НЕТО ПОВЕЋАЊЕ ГОТОВИНЕ (3056 - 3057)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Е.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НЕТО СМАЊЕЊЕ ГОТОВИНЕ (3057 - 3056)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Ж.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ГОТОВИНА И ГОТОВИНСКИ ЕКВИВАЛЕНТИ НА ПОЧЕТКУ ГОДИНЕ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ПОЗИТИВНЕ КУРСНЕ РАЗЛИКЕ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00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НЕГАТИВНЕ КУРСНЕ РАЗЛИКЕ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A22ADD" w:rsidRPr="000E64D6" w:rsidTr="00A22ADD">
        <w:trPr>
          <w:trHeight w:val="395"/>
        </w:trPr>
        <w:tc>
          <w:tcPr>
            <w:tcW w:w="5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Ј. 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ГОТОВИНА </w:t>
            </w:r>
            <w:r w:rsidR="00F27497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И </w:t>
            </w: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ГОТОВИНСКИ ЕКВИВАЛЕНТИ НА КРАЈУ ПЕРИОДА (3058 - 3059 + 3060 + 3061 - 3062)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6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22ADD" w:rsidRPr="000E64D6" w:rsidRDefault="00A22ADD" w:rsidP="00A22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107010" w:rsidRPr="000E64D6" w:rsidRDefault="00107010">
      <w:pPr>
        <w:rPr>
          <w:rFonts w:ascii="Arial" w:hAnsi="Arial" w:cs="Arial"/>
          <w:sz w:val="4"/>
        </w:rPr>
      </w:pPr>
    </w:p>
    <w:tbl>
      <w:tblPr>
        <w:tblW w:w="11165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4850"/>
        <w:gridCol w:w="500"/>
        <w:gridCol w:w="5815"/>
      </w:tblGrid>
      <w:tr w:rsidR="00107010" w:rsidRPr="000E64D6" w:rsidTr="00EB043F">
        <w:trPr>
          <w:trHeight w:val="52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E64D6">
              <w:rPr>
                <w:rFonts w:ascii="Arial" w:hAnsi="Arial" w:cs="Arial"/>
                <w:color w:val="000000"/>
              </w:rPr>
              <w:t xml:space="preserve">   У _____________________,</w:t>
            </w:r>
          </w:p>
        </w:tc>
        <w:tc>
          <w:tcPr>
            <w:tcW w:w="631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E64D6">
              <w:rPr>
                <w:rFonts w:ascii="Arial" w:hAnsi="Arial" w:cs="Arial"/>
                <w:color w:val="000000"/>
              </w:rPr>
              <w:t xml:space="preserve">                                      </w:t>
            </w:r>
            <w:proofErr w:type="spellStart"/>
            <w:r w:rsidRPr="000E64D6">
              <w:rPr>
                <w:rFonts w:ascii="Arial" w:hAnsi="Arial" w:cs="Arial"/>
                <w:color w:val="000000"/>
              </w:rPr>
              <w:t>Гувернер</w:t>
            </w:r>
            <w:proofErr w:type="spellEnd"/>
          </w:p>
        </w:tc>
      </w:tr>
      <w:tr w:rsidR="00107010" w:rsidRPr="000E64D6" w:rsidTr="00EB043F">
        <w:trPr>
          <w:trHeight w:val="492"/>
        </w:trPr>
        <w:tc>
          <w:tcPr>
            <w:tcW w:w="485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E64D6">
              <w:rPr>
                <w:rFonts w:ascii="Arial" w:hAnsi="Arial" w:cs="Arial"/>
                <w:color w:val="000000"/>
              </w:rPr>
              <w:t xml:space="preserve">    </w:t>
            </w:r>
            <w:proofErr w:type="spellStart"/>
            <w:r w:rsidRPr="000E64D6">
              <w:rPr>
                <w:rFonts w:ascii="Arial" w:hAnsi="Arial" w:cs="Arial"/>
                <w:color w:val="000000"/>
              </w:rPr>
              <w:t>дана</w:t>
            </w:r>
            <w:proofErr w:type="spellEnd"/>
            <w:r w:rsidRPr="000E64D6">
              <w:rPr>
                <w:rFonts w:ascii="Arial" w:hAnsi="Arial" w:cs="Arial"/>
                <w:color w:val="000000"/>
              </w:rPr>
              <w:t xml:space="preserve"> ___________________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07010" w:rsidRPr="000E64D6" w:rsidRDefault="00107010" w:rsidP="00EB0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E64D6">
              <w:rPr>
                <w:rFonts w:ascii="Arial" w:hAnsi="Arial" w:cs="Arial"/>
                <w:color w:val="000000"/>
              </w:rPr>
              <w:t xml:space="preserve">                                ______________________</w:t>
            </w:r>
          </w:p>
        </w:tc>
      </w:tr>
    </w:tbl>
    <w:p w:rsidR="00D84B16" w:rsidRPr="000E64D6" w:rsidRDefault="00D84B16" w:rsidP="00D84B16">
      <w:pPr>
        <w:spacing w:after="0" w:line="240" w:lineRule="auto"/>
        <w:ind w:left="-1080"/>
        <w:jc w:val="both"/>
        <w:rPr>
          <w:rFonts w:ascii="Arial" w:hAnsi="Arial" w:cs="Arial"/>
          <w:sz w:val="16"/>
          <w:szCs w:val="16"/>
        </w:rPr>
      </w:pPr>
    </w:p>
    <w:p w:rsidR="00F27497" w:rsidRPr="00A9351C" w:rsidRDefault="00F27497" w:rsidP="00593426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 w:rsidRPr="00A9351C"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</w:t>
      </w:r>
      <w:r>
        <w:rPr>
          <w:rFonts w:ascii="Arial" w:hAnsi="Arial" w:cs="Arial"/>
          <w:sz w:val="16"/>
          <w:szCs w:val="16"/>
          <w:lang w:val="ru-RU"/>
        </w:rPr>
        <w:t>их</w:t>
      </w:r>
      <w:r w:rsidRPr="00A9351C">
        <w:rPr>
          <w:rFonts w:ascii="Arial" w:hAnsi="Arial" w:cs="Arial"/>
          <w:sz w:val="16"/>
          <w:szCs w:val="16"/>
          <w:lang w:val="ru-RU"/>
        </w:rPr>
        <w:t xml:space="preserve"> извештаја за Народну банку Србије („Службени гласник РС“ бр. </w:t>
      </w:r>
      <w:r>
        <w:rPr>
          <w:rFonts w:ascii="Arial" w:hAnsi="Arial" w:cs="Arial"/>
          <w:sz w:val="16"/>
          <w:szCs w:val="16"/>
          <w:lang w:val="ru-RU"/>
        </w:rPr>
        <w:t>108/2017</w:t>
      </w:r>
      <w:r w:rsidRPr="00A9351C">
        <w:rPr>
          <w:rFonts w:ascii="Arial" w:hAnsi="Arial" w:cs="Arial"/>
          <w:sz w:val="16"/>
          <w:szCs w:val="16"/>
          <w:lang w:val="ru-RU"/>
        </w:rPr>
        <w:t>).</w:t>
      </w:r>
    </w:p>
    <w:p w:rsidR="00107010" w:rsidRPr="000E64D6" w:rsidRDefault="00107010" w:rsidP="00107010">
      <w:pPr>
        <w:rPr>
          <w:rFonts w:ascii="Arial" w:hAnsi="Arial" w:cs="Arial"/>
        </w:rPr>
      </w:pPr>
    </w:p>
    <w:sectPr w:rsidR="00107010" w:rsidRPr="000E64D6" w:rsidSect="00107010">
      <w:pgSz w:w="11906" w:h="16838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10"/>
    <w:rsid w:val="000E64D6"/>
    <w:rsid w:val="00107010"/>
    <w:rsid w:val="002C3427"/>
    <w:rsid w:val="00593426"/>
    <w:rsid w:val="00594AB5"/>
    <w:rsid w:val="007A3A06"/>
    <w:rsid w:val="00997BC3"/>
    <w:rsid w:val="009F4C08"/>
    <w:rsid w:val="00A22ADD"/>
    <w:rsid w:val="00AF39D5"/>
    <w:rsid w:val="00B3591A"/>
    <w:rsid w:val="00B96255"/>
    <w:rsid w:val="00D37E01"/>
    <w:rsid w:val="00D84B16"/>
    <w:rsid w:val="00E529AE"/>
    <w:rsid w:val="00EA157F"/>
    <w:rsid w:val="00F27497"/>
    <w:rsid w:val="00FD7978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956A5-CFD9-447C-B1F0-3269F55D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3</cp:revision>
  <dcterms:created xsi:type="dcterms:W3CDTF">2018-10-30T08:41:00Z</dcterms:created>
  <dcterms:modified xsi:type="dcterms:W3CDTF">2018-11-06T12:20:00Z</dcterms:modified>
</cp:coreProperties>
</file>