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7" w:type="dxa"/>
        <w:tblInd w:w="-97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0"/>
        <w:gridCol w:w="655"/>
        <w:gridCol w:w="3634"/>
        <w:gridCol w:w="468"/>
        <w:gridCol w:w="14"/>
        <w:gridCol w:w="79"/>
        <w:gridCol w:w="2091"/>
        <w:gridCol w:w="815"/>
        <w:gridCol w:w="1168"/>
        <w:gridCol w:w="208"/>
        <w:gridCol w:w="1772"/>
        <w:gridCol w:w="113"/>
      </w:tblGrid>
      <w:tr w:rsidR="00711CA8" w:rsidRPr="007E3FB7" w:rsidTr="00382234">
        <w:trPr>
          <w:trHeight w:val="350"/>
        </w:trPr>
        <w:tc>
          <w:tcPr>
            <w:tcW w:w="7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36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CA8" w:rsidRPr="00154AD2" w:rsidRDefault="00711CA8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</w:rPr>
              <w:t>Попуњава друштво за управљање инвестиционим фондовима</w:t>
            </w:r>
          </w:p>
        </w:tc>
      </w:tr>
      <w:tr w:rsidR="00711CA8" w:rsidRPr="007E3FB7" w:rsidTr="00382234">
        <w:trPr>
          <w:trHeight w:val="350"/>
        </w:trPr>
        <w:tc>
          <w:tcPr>
            <w:tcW w:w="7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A8" w:rsidRPr="007E3FB7" w:rsidRDefault="00B32089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3810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B1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.2pt;margin-top:.3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A8" w:rsidRPr="007E3FB7" w:rsidRDefault="00B32089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2489835</wp:posOffset>
                      </wp:positionH>
                      <wp:positionV relativeFrom="paragraph">
                        <wp:posOffset>2540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13AEB" id="Text Box 3" o:spid="_x0000_s1026" type="#_x0000_t202" style="position:absolute;margin-left:196.05pt;margin-top:.2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A8" w:rsidRPr="007E3FB7" w:rsidRDefault="00B32089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9525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FB13D" id="Text Box 1" o:spid="_x0000_s1026" type="#_x0000_t202" style="position:absolute;margin-left:136.5pt;margin-top:.75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11CA8" w:rsidRPr="00001394" w:rsidTr="00382234">
        <w:trPr>
          <w:trHeight w:val="315"/>
        </w:trPr>
        <w:tc>
          <w:tcPr>
            <w:tcW w:w="1110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CA8" w:rsidRPr="00154AD2" w:rsidRDefault="00711CA8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54AD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7E3FB7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7E3FB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фонда                     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   Регистарски број фонда</w:t>
            </w:r>
            <w:r w:rsidRPr="00154AD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>
              <w:rPr>
                <w:rFonts w:ascii="Arial" w:eastAsia="Times New Roman" w:hAnsi="Arial" w:cs="Arial"/>
                <w:color w:val="000000"/>
              </w:rPr>
              <w:t>ПИБ фонда</w:t>
            </w:r>
          </w:p>
        </w:tc>
      </w:tr>
      <w:tr w:rsidR="00711CA8" w:rsidRPr="007E3FB7" w:rsidTr="00382234">
        <w:trPr>
          <w:trHeight w:val="300"/>
        </w:trPr>
        <w:tc>
          <w:tcPr>
            <w:tcW w:w="1110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711CA8" w:rsidRPr="007E3FB7" w:rsidTr="00382234">
        <w:trPr>
          <w:trHeight w:val="300"/>
        </w:trPr>
        <w:tc>
          <w:tcPr>
            <w:tcW w:w="1110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711CA8" w:rsidRPr="007E3FB7" w:rsidTr="00382234">
        <w:trPr>
          <w:trHeight w:val="315"/>
        </w:trPr>
        <w:tc>
          <w:tcPr>
            <w:tcW w:w="11107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Пословно име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фонда:</w:t>
            </w: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667"/>
        </w:trPr>
        <w:tc>
          <w:tcPr>
            <w:tcW w:w="109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ТОКОВИМА ГОТОВИНЕ ЗАТВОРЕНОГ/ПРИВАТНОГ ИНВЕСТИЦИОНОГ ФОНДА</w:t>
            </w: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290"/>
        </w:trPr>
        <w:tc>
          <w:tcPr>
            <w:tcW w:w="109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 периоду од _____ до _____20__ године</w:t>
            </w: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230"/>
        </w:trPr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276"/>
        </w:trPr>
        <w:tc>
          <w:tcPr>
            <w:tcW w:w="42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84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96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276"/>
        </w:trPr>
        <w:tc>
          <w:tcPr>
            <w:tcW w:w="4289" w:type="dxa"/>
            <w:gridSpan w:val="2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Текући период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Претходни период</w:t>
            </w:r>
          </w:p>
        </w:tc>
      </w:tr>
      <w:tr w:rsidR="00382234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276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78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 НОВЧАНИ ТОКОВИ ИЗ ПОСЛОВНИХ АКТИВНОСТИ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Pr="00382234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63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 ПРИЛИВИ ГОТО</w:t>
            </w:r>
            <w:r w:rsidR="00154AD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ВИНЕ ИЗ ПОСЛОВНИХ АКТИВНОСТИ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(3002+3003+3004+3005)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382234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90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Приливи по основу продаје улагања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Приливи по основу дивиденди и учешћа у добитку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Приливи по основу камата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Остали приливи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62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ОДЛИВИ ГОТОВИНЕ ИЗ ПОСЛОВНИХ АКТИВНОСТИ (3007+3008+3009+3010+3011+3012+3013)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18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Одливи по основу куповине улагања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08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Одливи по основу накнада друштву за управљање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Одливи по основу трошкова куповине и продаје улагања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Одливи по основу накнада члановима управе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Одливи по основу трошкова кастоди банке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Остали одливи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 Порез на добитак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НЕТО ПРИЛИВИ ГО</w:t>
            </w:r>
            <w:r w:rsidR="00154AD2">
              <w:rPr>
                <w:rFonts w:ascii="Arial" w:hAnsi="Arial" w:cs="Arial"/>
                <w:color w:val="000000"/>
                <w:sz w:val="16"/>
                <w:szCs w:val="16"/>
              </w:rPr>
              <w:t>ТОВИНЕ ИЗ ПОСЛОВНИХ АКТИВНОСТИ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(3001-3006)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 НЕТО ОДЛИВИ ГО</w:t>
            </w:r>
            <w:r w:rsidR="00154AD2">
              <w:rPr>
                <w:rFonts w:ascii="Arial" w:hAnsi="Arial" w:cs="Arial"/>
                <w:color w:val="000000"/>
                <w:sz w:val="16"/>
                <w:szCs w:val="16"/>
              </w:rPr>
              <w:t>ТОВИНЕ ИЗ ПОСЛОВНИХ АКТИВНОСТИ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(3006-3001)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 НОВЧАНИ ТОКОВИ ИЗ АКТИВНОСТИ ФИНАНСИРАЊА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Pr="00154AD2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382234" w:rsidRPr="00154AD2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 ПРИЛИВИ ГОТ</w:t>
            </w:r>
            <w:r w:rsidR="00154AD2">
              <w:rPr>
                <w:rFonts w:ascii="Arial" w:hAnsi="Arial" w:cs="Arial"/>
                <w:color w:val="000000"/>
                <w:sz w:val="16"/>
                <w:szCs w:val="16"/>
              </w:rPr>
              <w:t>ОВИНЕ ИЗ АКТИВНОСТИ ФИНАНСИРАЊА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(3017+3018+3019)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Приливи по основу издавања акција/удела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Приливи по основу задуживања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34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Остали приливи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63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 ОДЛИВИ ГОТ</w:t>
            </w:r>
            <w:r w:rsidR="00154AD2">
              <w:rPr>
                <w:rFonts w:ascii="Arial" w:hAnsi="Arial" w:cs="Arial"/>
                <w:color w:val="000000"/>
                <w:sz w:val="16"/>
                <w:szCs w:val="16"/>
              </w:rPr>
              <w:t>ОВИНЕ ИЗ АКТИВНОСТИ ФИНАНСИРАЊА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(3021+3022+3023+ 3024)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08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Одливи по основу раздуживања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Откуп сопствених акција/удела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Исплата дивиденди (учешћа у добитку)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0" w:type="dxa"/>
          <w:wAfter w:w="113" w:type="dxa"/>
          <w:trHeight w:val="435"/>
        </w:trPr>
        <w:tc>
          <w:tcPr>
            <w:tcW w:w="42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Остали одливи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2234" w:rsidRPr="00382234" w:rsidRDefault="00382234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82234" w:rsidRDefault="00382234" w:rsidP="00711C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382234" w:rsidSect="00382234">
          <w:pgSz w:w="11906" w:h="16838"/>
          <w:pgMar w:top="540" w:right="1440" w:bottom="720" w:left="1440" w:header="720" w:footer="720" w:gutter="0"/>
          <w:cols w:space="720"/>
          <w:docGrid w:linePitch="360"/>
        </w:sectPr>
      </w:pPr>
    </w:p>
    <w:tbl>
      <w:tblPr>
        <w:tblW w:w="10904" w:type="dxa"/>
        <w:tblInd w:w="-88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289"/>
        <w:gridCol w:w="468"/>
        <w:gridCol w:w="2184"/>
        <w:gridCol w:w="1983"/>
        <w:gridCol w:w="1980"/>
      </w:tblGrid>
      <w:tr w:rsidR="00711CA8" w:rsidTr="00382234">
        <w:trPr>
          <w:trHeight w:val="276"/>
        </w:trPr>
        <w:tc>
          <w:tcPr>
            <w:tcW w:w="42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8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11CA8" w:rsidTr="00382234">
        <w:trPr>
          <w:trHeight w:val="319"/>
        </w:trPr>
        <w:tc>
          <w:tcPr>
            <w:tcW w:w="4289" w:type="dxa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Текући период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Претходни период</w:t>
            </w:r>
          </w:p>
        </w:tc>
      </w:tr>
      <w:tr w:rsidR="00382234" w:rsidTr="00382234">
        <w:trPr>
          <w:trHeight w:val="262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НЕТО ПРИЛИВИ ГОТОВ</w:t>
            </w:r>
            <w:r w:rsidR="00154AD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ИНЕ ИЗ АКТИВНОСТИ ФИНАНСИРАЊА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(3016-3020)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ОДЛИВИ ГОТОВ</w:t>
            </w:r>
            <w:r w:rsidR="00154AD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ИНЕ ИЗ АКТИВНОСТИ ФИНАНСИРАЊА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(3020-3016)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54AD2">
              <w:rPr>
                <w:rFonts w:ascii="Arial" w:hAnsi="Arial" w:cs="Arial"/>
                <w:b/>
                <w:color w:val="000000"/>
                <w:sz w:val="16"/>
                <w:szCs w:val="16"/>
              </w:rPr>
              <w:t>В. НЕТО ПРИЛИВИ ГОТОВИНЕ</w:t>
            </w:r>
          </w:p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(3014+3025-3015-3026)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54AD2">
              <w:rPr>
                <w:rFonts w:ascii="Arial" w:hAnsi="Arial" w:cs="Arial"/>
                <w:b/>
                <w:color w:val="000000"/>
                <w:sz w:val="16"/>
                <w:szCs w:val="16"/>
              </w:rPr>
              <w:t>Г. НЕТО ОДЛИВИ ГОТОВИНЕ</w:t>
            </w:r>
          </w:p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(3015+3026-3014-3025)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Д. ГОТОВИНА НА ПОЧЕТКУ ПЕРИОДА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Ђ. ПОЗИТИВНЕ КУРСНЕ РАЗЛИКЕ ПО ОСНОВУ ПРЕРАЧУНА ГОТОВИНЕ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single" w:sz="6" w:space="0" w:color="000000"/>
              <w:left w:val="single" w:sz="12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Е. НЕГАТИВНЕ КУРСНЕ РАЗЛИКЕ ПО ОСНОВУ ПРЕРАЧУНА ГОТОВИНЕ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CA8" w:rsidTr="00382234">
        <w:trPr>
          <w:trHeight w:val="463"/>
        </w:trPr>
        <w:tc>
          <w:tcPr>
            <w:tcW w:w="428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Ж. ГОТОВИНА НА КРАЈУ ПЕРИОДА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(АОП 0002)</w:t>
            </w:r>
          </w:p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(3027-3028+3029+3030-3031)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11CA8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711CA8" w:rsidRDefault="00711CA8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54AD2" w:rsidRPr="00154AD2" w:rsidRDefault="00154AD2" w:rsidP="0038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11CA8" w:rsidRPr="00154AD2" w:rsidRDefault="00711CA8" w:rsidP="0071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11CA8" w:rsidRDefault="00711CA8">
      <w:pPr>
        <w:rPr>
          <w:lang w:val="en-US"/>
        </w:rPr>
      </w:pPr>
    </w:p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711CA8" w:rsidRPr="007E3FB7" w:rsidTr="008C0E24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1CA8" w:rsidRPr="007E3FB7" w:rsidTr="008C0E24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                             Законски заступник друштва</w:t>
            </w:r>
          </w:p>
        </w:tc>
      </w:tr>
      <w:tr w:rsidR="00711CA8" w:rsidRPr="007E3FB7" w:rsidTr="008C0E24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AD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711CA8" w:rsidRPr="007E3FB7" w:rsidTr="008C0E24">
        <w:trPr>
          <w:trHeight w:val="198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CA8" w:rsidRPr="007E3FB7" w:rsidRDefault="00711CA8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46B07" w:rsidRDefault="00946B07" w:rsidP="00946B07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946B07" w:rsidRDefault="00946B07" w:rsidP="00946B07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154AD2" w:rsidRDefault="00154AD2" w:rsidP="00946B07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инвестиционе фондове </w:t>
      </w:r>
    </w:p>
    <w:p w:rsidR="00154AD2" w:rsidRDefault="00154AD2" w:rsidP="00946B07">
      <w:pPr>
        <w:spacing w:after="0" w:line="240" w:lineRule="auto"/>
        <w:ind w:left="-54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8747EE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8747EE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154AD2" w:rsidRPr="00154AD2" w:rsidRDefault="00154AD2">
      <w:pPr>
        <w:rPr>
          <w:lang w:val="ru-RU"/>
        </w:rPr>
      </w:pPr>
      <w:bookmarkStart w:id="0" w:name="_GoBack"/>
      <w:bookmarkEnd w:id="0"/>
    </w:p>
    <w:sectPr w:rsidR="00154AD2" w:rsidRPr="00154AD2" w:rsidSect="00382234">
      <w:pgSz w:w="11906" w:h="16838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A8"/>
    <w:rsid w:val="00154AD2"/>
    <w:rsid w:val="00184EB0"/>
    <w:rsid w:val="00317BF1"/>
    <w:rsid w:val="00382234"/>
    <w:rsid w:val="006B4046"/>
    <w:rsid w:val="00711CA8"/>
    <w:rsid w:val="008747EE"/>
    <w:rsid w:val="00946B07"/>
    <w:rsid w:val="00B3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02749-ADE6-4628-ACB8-F04E3C6C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6783-39DC-4D3A-B761-45ED9FE9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2014-12-30T11:52:00Z</dcterms:created>
  <dcterms:modified xsi:type="dcterms:W3CDTF">2018-11-08T07:22:00Z</dcterms:modified>
</cp:coreProperties>
</file>