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580"/>
        <w:gridCol w:w="4581"/>
      </w:tblGrid>
      <w:tr w:rsidR="00483E2E" w:rsidTr="00483E2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E2E" w:rsidRDefault="00483E2E"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2743200" cy="688340"/>
                  <wp:effectExtent l="19050" t="0" r="0" b="0"/>
                  <wp:docPr id="1" name="Picture 1" descr="LogoA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E2E" w:rsidRDefault="00483E2E">
            <w:pPr>
              <w:jc w:val="right"/>
            </w:pPr>
            <w:bookmarkStart w:id="0" w:name="BarcodeImageBookmark"/>
            <w:bookmarkEnd w:id="0"/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903605" cy="68834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E2E" w:rsidRDefault="00483E2E">
            <w:pPr>
              <w:jc w:val="right"/>
              <w:rPr>
                <w:sz w:val="22"/>
                <w:szCs w:val="22"/>
              </w:rPr>
            </w:pPr>
            <w:bookmarkStart w:id="1" w:name="BarcodeNumberBookmark"/>
            <w:bookmarkEnd w:id="1"/>
            <w:r>
              <w:rPr>
                <w:sz w:val="22"/>
                <w:szCs w:val="22"/>
              </w:rPr>
              <w:t>8600000104672</w:t>
            </w:r>
          </w:p>
        </w:tc>
      </w:tr>
    </w:tbl>
    <w:p w:rsidR="00483E2E" w:rsidRDefault="00483E2E" w:rsidP="00483E2E">
      <w:pPr>
        <w:rPr>
          <w:lang w:val="sr-Cyrl-CS"/>
        </w:rPr>
      </w:pPr>
      <w:r>
        <w:rPr>
          <w:lang w:val="sr-Cyrl-CS"/>
        </w:rPr>
        <w:t>Регистар туризма</w:t>
      </w:r>
    </w:p>
    <w:p w:rsidR="00483E2E" w:rsidRDefault="00483E2E" w:rsidP="00483E2E"/>
    <w:p w:rsidR="00483E2E" w:rsidRDefault="00483E2E" w:rsidP="00483E2E">
      <w:pPr>
        <w:rPr>
          <w:lang w:val="sr-Latn-CS"/>
        </w:rPr>
      </w:pPr>
      <w:r>
        <w:t>БТ 837/2012</w:t>
      </w:r>
    </w:p>
    <w:p w:rsidR="00483E2E" w:rsidRDefault="00483E2E" w:rsidP="00483E2E">
      <w:r>
        <w:rPr>
          <w:lang w:val="sr-Cyrl-CS"/>
        </w:rPr>
        <w:t xml:space="preserve">Дана, </w:t>
      </w:r>
      <w:r>
        <w:t>20.06.2012</w:t>
      </w:r>
      <w:r>
        <w:rPr>
          <w:lang w:val="sr-Cyrl-CS"/>
        </w:rPr>
        <w:t xml:space="preserve"> године</w:t>
      </w:r>
    </w:p>
    <w:p w:rsidR="00483E2E" w:rsidRDefault="00483E2E" w:rsidP="00483E2E">
      <w:pPr>
        <w:rPr>
          <w:lang w:val="sr-Latn-CS"/>
        </w:rPr>
      </w:pPr>
      <w:r>
        <w:rPr>
          <w:lang w:val="sr-Cyrl-CS"/>
        </w:rPr>
        <w:t>Београд</w:t>
      </w:r>
      <w:r>
        <w:br/>
      </w:r>
    </w:p>
    <w:p w:rsidR="00483E2E" w:rsidRDefault="00483E2E" w:rsidP="00483E2E">
      <w:pPr>
        <w:ind w:firstLine="300"/>
        <w:jc w:val="both"/>
      </w:pPr>
      <w:r>
        <w:rPr>
          <w:lang w:val="sr-Cyrl-CS"/>
        </w:rPr>
        <w:t>Регистратор Регистра туризма који води Агенција за привредне регистре, на основу члана 51. став 7. Закона о туризму (Службени гласник РС бр. 36/09 и 88/10), и члана 15. став 1. Закона о поступку регистрације у Агенцији за привредне регистре („Службени гласник РС“, бр. 99/2011), одлучујући о регистрационој пријави за промену података привредног субјекта  PRIVREDNO DRUŠTVO AEROKLUB DRUŠTVO SA OGRANIČENOM ODGOVORNOŠĆU BEOGRAD (NOVI BEOGRAD) туристичке агенције, МБ 17573071, коју је поднео/ла:</w:t>
      </w:r>
    </w:p>
    <w:p w:rsidR="00483E2E" w:rsidRDefault="00483E2E" w:rsidP="00483E2E"/>
    <w:p w:rsidR="00483E2E" w:rsidRDefault="00483E2E" w:rsidP="00483E2E">
      <w:pPr>
        <w:ind w:firstLine="300"/>
        <w:jc w:val="both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: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Бранковић</w:t>
      </w:r>
      <w:proofErr w:type="spellEnd"/>
    </w:p>
    <w:p w:rsidR="00483E2E" w:rsidRDefault="00483E2E" w:rsidP="00483E2E">
      <w:pPr>
        <w:ind w:firstLine="300"/>
        <w:jc w:val="both"/>
      </w:pPr>
      <w:r>
        <w:t>ЈМБГ: 0810950710189</w:t>
      </w:r>
    </w:p>
    <w:p w:rsidR="00483E2E" w:rsidRDefault="00483E2E" w:rsidP="00483E2E">
      <w:pPr>
        <w:ind w:firstLine="300"/>
        <w:jc w:val="both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t>Пере</w:t>
      </w:r>
      <w:proofErr w:type="spellEnd"/>
      <w:r>
        <w:t xml:space="preserve"> </w:t>
      </w:r>
      <w:proofErr w:type="spellStart"/>
      <w:r>
        <w:t>Тодоровића</w:t>
      </w:r>
      <w:proofErr w:type="spellEnd"/>
      <w:r>
        <w:t xml:space="preserve"> 26, </w:t>
      </w:r>
      <w:proofErr w:type="spellStart"/>
      <w:r>
        <w:t>Београд-Чукарица</w:t>
      </w:r>
      <w:proofErr w:type="spellEnd"/>
      <w:r>
        <w:t xml:space="preserve">, </w:t>
      </w:r>
      <w:proofErr w:type="spellStart"/>
      <w:r>
        <w:t>Србија</w:t>
      </w:r>
      <w:proofErr w:type="spellEnd"/>
    </w:p>
    <w:p w:rsidR="00483E2E" w:rsidRDefault="00483E2E" w:rsidP="00483E2E"/>
    <w:p w:rsidR="00483E2E" w:rsidRDefault="00483E2E" w:rsidP="00483E2E">
      <w:r>
        <w:rPr>
          <w:lang w:val="sr-Cyrl-CS"/>
        </w:rPr>
        <w:t>доноси</w:t>
      </w:r>
    </w:p>
    <w:p w:rsidR="00483E2E" w:rsidRDefault="00483E2E" w:rsidP="00483E2E"/>
    <w:p w:rsidR="00483E2E" w:rsidRDefault="00483E2E" w:rsidP="00483E2E"/>
    <w:p w:rsidR="00483E2E" w:rsidRDefault="00483E2E" w:rsidP="00483E2E">
      <w:pPr>
        <w:jc w:val="center"/>
        <w:rPr>
          <w:lang w:val="sr-Cyrl-CS"/>
        </w:rPr>
      </w:pPr>
      <w:r>
        <w:rPr>
          <w:b/>
          <w:bCs/>
          <w:lang w:val="sr-Cyrl-CS"/>
        </w:rPr>
        <w:t>РЕШЕЊЕ</w:t>
      </w:r>
    </w:p>
    <w:p w:rsidR="00483E2E" w:rsidRDefault="00483E2E" w:rsidP="00483E2E"/>
    <w:p w:rsidR="00483E2E" w:rsidRDefault="00483E2E" w:rsidP="00483E2E">
      <w:pPr>
        <w:rPr>
          <w:lang w:val="sr-Cyrl-CS"/>
        </w:rPr>
      </w:pPr>
      <w:r>
        <w:rPr>
          <w:b/>
          <w:bCs/>
          <w:lang w:val="sr-Cyrl-CS"/>
        </w:rPr>
        <w:t xml:space="preserve">ОДБАЦУЈЕ СЕ </w:t>
      </w:r>
      <w:r>
        <w:rPr>
          <w:lang w:val="sr-Cyrl-CS"/>
        </w:rPr>
        <w:t>регистрациона пријава привредног субјекта</w:t>
      </w:r>
    </w:p>
    <w:p w:rsidR="00483E2E" w:rsidRDefault="00483E2E" w:rsidP="00483E2E"/>
    <w:p w:rsidR="00483E2E" w:rsidRDefault="00483E2E" w:rsidP="00483E2E">
      <w:pPr>
        <w:jc w:val="center"/>
      </w:pPr>
      <w:r>
        <w:rPr>
          <w:b/>
          <w:bCs/>
          <w:lang w:val="sr-Cyrl-CS"/>
        </w:rPr>
        <w:t>PRIVREDNO DRUŠTVO AEROKLUB DRUŠTVO SA OGRANIČENOM ODGOVORNOŠĆU BEOGRAD (NOVI BEOGRAD)</w:t>
      </w:r>
    </w:p>
    <w:p w:rsidR="00483E2E" w:rsidRDefault="00483E2E" w:rsidP="00483E2E"/>
    <w:p w:rsidR="00483E2E" w:rsidRDefault="00483E2E" w:rsidP="00483E2E">
      <w:pPr>
        <w:rPr>
          <w:lang w:val="sr-Cyrl-CS"/>
        </w:rPr>
      </w:pPr>
      <w:r>
        <w:rPr>
          <w:lang w:val="sr-Cyrl-CS"/>
        </w:rPr>
        <w:t xml:space="preserve">Матични број: </w:t>
      </w:r>
      <w:r>
        <w:t>17573071</w:t>
      </w:r>
    </w:p>
    <w:p w:rsidR="00483E2E" w:rsidRDefault="00483E2E" w:rsidP="00483E2E"/>
    <w:p w:rsidR="00483E2E" w:rsidRDefault="00483E2E" w:rsidP="00483E2E">
      <w:pPr>
        <w:rPr>
          <w:lang w:val="sr-Cyrl-CS"/>
        </w:rPr>
      </w:pPr>
      <w:r>
        <w:rPr>
          <w:lang w:val="sr-Cyrl-CS"/>
        </w:rPr>
        <w:t xml:space="preserve">Број лиценце: </w:t>
      </w:r>
      <w:r>
        <w:t>ОТП 481/2010</w:t>
      </w:r>
    </w:p>
    <w:p w:rsidR="00483E2E" w:rsidRDefault="00483E2E" w:rsidP="00483E2E">
      <w:pPr>
        <w:jc w:val="both"/>
      </w:pPr>
    </w:p>
    <w:p w:rsidR="00483E2E" w:rsidRDefault="00483E2E" w:rsidP="00483E2E">
      <w:pPr>
        <w:jc w:val="both"/>
        <w:rPr>
          <w:lang w:val="sr-Latn-CS"/>
        </w:rPr>
      </w:pPr>
      <w:r>
        <w:rPr>
          <w:lang w:val="sr-Cyrl-CS"/>
        </w:rPr>
        <w:t>која се односи на регистрацију промене и то:</w:t>
      </w:r>
    </w:p>
    <w:p w:rsidR="00483E2E" w:rsidRDefault="00483E2E" w:rsidP="00483E2E">
      <w:pPr>
        <w:numPr>
          <w:ilvl w:val="0"/>
          <w:numId w:val="1"/>
        </w:numPr>
        <w:spacing w:before="100" w:beforeAutospacing="1" w:after="100" w:afterAutospacing="1"/>
        <w:rPr>
          <w:b/>
          <w:bCs/>
          <w:lang w:val="sr-Cyrl-CS"/>
        </w:rPr>
      </w:pPr>
      <w:r>
        <w:rPr>
          <w:b/>
          <w:bCs/>
          <w:lang w:val="sr-Cyrl-CS"/>
        </w:rPr>
        <w:t>Промену података о полиси осигурања и општим условима путовања ,</w:t>
      </w:r>
    </w:p>
    <w:p w:rsidR="00483E2E" w:rsidRDefault="00483E2E" w:rsidP="00483E2E">
      <w:pPr>
        <w:jc w:val="both"/>
      </w:pPr>
      <w:r>
        <w:rPr>
          <w:lang w:val="sr-Cyrl-CS"/>
        </w:rPr>
        <w:t>због неиспуњености услова за регистрацију</w:t>
      </w:r>
      <w:r>
        <w:t xml:space="preserve">, </w:t>
      </w:r>
      <w:r>
        <w:rPr>
          <w:lang w:val="sr-Cyrl-CS"/>
        </w:rPr>
        <w:t xml:space="preserve">јер је утврђено да нису испуњени услови из члана 14. став 1. тачка </w:t>
      </w:r>
      <w:r>
        <w:t xml:space="preserve">2. </w:t>
      </w:r>
      <w:r>
        <w:rPr>
          <w:lang w:val="sr-Cyrl-CS"/>
        </w:rPr>
        <w:t xml:space="preserve">Закона о поступку регистрације у Агенцији за привредне регистре у вези са чланом 51. ст. 3 и 7. и чланом 52. Закона о туризму.  </w:t>
      </w:r>
    </w:p>
    <w:p w:rsidR="00483E2E" w:rsidRDefault="00483E2E" w:rsidP="00483E2E">
      <w:pPr>
        <w:jc w:val="center"/>
        <w:rPr>
          <w:b/>
          <w:bCs/>
          <w:lang w:val="sr-Latn-CS"/>
        </w:rPr>
      </w:pPr>
    </w:p>
    <w:p w:rsidR="00483E2E" w:rsidRDefault="00483E2E" w:rsidP="00483E2E">
      <w:pPr>
        <w:jc w:val="center"/>
        <w:rPr>
          <w:b/>
          <w:bCs/>
          <w:lang w:val="sr-Latn-CS"/>
        </w:rPr>
      </w:pPr>
    </w:p>
    <w:p w:rsidR="00483E2E" w:rsidRDefault="00483E2E" w:rsidP="00483E2E">
      <w:pPr>
        <w:jc w:val="center"/>
        <w:rPr>
          <w:b/>
          <w:bCs/>
        </w:rPr>
      </w:pPr>
      <w:r>
        <w:rPr>
          <w:b/>
          <w:bCs/>
          <w:lang w:val="sr-Cyrl-CS"/>
        </w:rPr>
        <w:t>Образложење</w:t>
      </w:r>
      <w:r>
        <w:rPr>
          <w:b/>
          <w:bCs/>
        </w:rPr>
        <w:t xml:space="preserve"> </w:t>
      </w:r>
    </w:p>
    <w:p w:rsidR="00483E2E" w:rsidRDefault="00483E2E" w:rsidP="00483E2E">
      <w:pPr>
        <w:rPr>
          <w:lang w:val="sr-Latn-CS"/>
        </w:rPr>
      </w:pPr>
    </w:p>
    <w:p w:rsidR="00483E2E" w:rsidRDefault="00483E2E" w:rsidP="00483E2E">
      <w:pPr>
        <w:rPr>
          <w:lang w:val="sr-Cyrl-CS"/>
        </w:rPr>
      </w:pPr>
      <w:r>
        <w:rPr>
          <w:lang w:val="sr-Cyrl-CS"/>
        </w:rPr>
        <w:lastRenderedPageBreak/>
        <w:t>Подносилац регистрационе пријаве поднео је дана 15.06.2012. године регистрациону пријаву за промену података број БТ 837/2012 и уз пријаву је доставио документацију наведену у потврди о примљеној регистрационој пријави.</w:t>
      </w:r>
    </w:p>
    <w:p w:rsidR="00483E2E" w:rsidRDefault="00483E2E" w:rsidP="00483E2E">
      <w:pPr>
        <w:ind w:firstLine="708"/>
        <w:jc w:val="both"/>
      </w:pPr>
    </w:p>
    <w:p w:rsidR="00483E2E" w:rsidRDefault="00483E2E" w:rsidP="00483E2E">
      <w:pPr>
        <w:ind w:firstLine="708"/>
        <w:jc w:val="both"/>
        <w:rPr>
          <w:lang w:val="sr-Latn-CS"/>
        </w:rPr>
      </w:pPr>
    </w:p>
    <w:p w:rsidR="00483E2E" w:rsidRDefault="00483E2E" w:rsidP="00483E2E">
      <w:pPr>
        <w:ind w:firstLine="708"/>
        <w:jc w:val="both"/>
        <w:rPr>
          <w:lang w:val="sr-Latn-CS"/>
        </w:rPr>
      </w:pPr>
    </w:p>
    <w:p w:rsidR="00483E2E" w:rsidRDefault="00483E2E" w:rsidP="00483E2E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Провeравајући испуњеност услова за регистрацију промене података, прописаних одредбом члана 14. Закона о поступку регистрације у Агенцији за привредне регистре и чланова 51. ст. 3 и 7. и 52. Закона о туризму, Регистратор је утврдио да нису испуњени услови за регистрацију из следећих разлога: </w:t>
      </w:r>
    </w:p>
    <w:p w:rsidR="00483E2E" w:rsidRDefault="00483E2E" w:rsidP="00483E2E">
      <w:pPr>
        <w:ind w:firstLine="708"/>
        <w:jc w:val="both"/>
        <w:rPr>
          <w:lang w:val="sr-Latn-CS"/>
        </w:rPr>
      </w:pPr>
    </w:p>
    <w:p w:rsidR="00483E2E" w:rsidRDefault="00483E2E" w:rsidP="00483E2E">
      <w:pPr>
        <w:ind w:firstLine="708"/>
        <w:jc w:val="both"/>
        <w:rPr>
          <w:b/>
        </w:rPr>
      </w:pPr>
      <w:r>
        <w:rPr>
          <w:lang w:val="sr-Cyrl-CS"/>
        </w:rPr>
        <w:t xml:space="preserve">Чланом 51. став 3. Закона о туризму, прописано је да се </w:t>
      </w:r>
      <w:r>
        <w:rPr>
          <w:lang w:val="ru-RU"/>
        </w:rPr>
        <w:t>уз захтев за издавање лиценце подносе докази о испуњености услова прописаних чланом 52. овог закона којим се  предвиђа да</w:t>
      </w:r>
      <w:r>
        <w:rPr>
          <w:lang w:val="sr-Cyrl-CS"/>
        </w:rPr>
        <w:t xml:space="preserve"> се </w:t>
      </w:r>
      <w:r>
        <w:rPr>
          <w:bCs/>
          <w:lang w:val="ru-RU"/>
        </w:rPr>
        <w:t>лиценца издаје туристичкој агенцији</w:t>
      </w:r>
      <w:r>
        <w:rPr>
          <w:lang w:val="ru-RU"/>
        </w:rPr>
        <w:t xml:space="preserve">  </w:t>
      </w:r>
      <w:r>
        <w:rPr>
          <w:lang w:val="sr-Cyrl-CS"/>
        </w:rPr>
        <w:t xml:space="preserve">1) </w:t>
      </w:r>
      <w:r>
        <w:rPr>
          <w:bCs/>
          <w:lang w:val="ru-RU"/>
        </w:rPr>
        <w:t>које</w:t>
      </w:r>
      <w:r>
        <w:rPr>
          <w:lang w:val="sr-Cyrl-CS"/>
        </w:rPr>
        <w:t xml:space="preserve"> има запослено најмање једно лице које испуњава услове из члана 50. овог закона(</w:t>
      </w:r>
      <w:r>
        <w:rPr>
          <w:lang w:val="ru-RU"/>
        </w:rPr>
        <w:t xml:space="preserve">зна српски језик, познаје један страни језик, има вишу стручну спрему туристичког, економског или другог друштвеног смера за рад код организатора путовања, односно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у </w:t>
      </w:r>
      <w:proofErr w:type="spellStart"/>
      <w:r>
        <w:t>четворогодишњем</w:t>
      </w:r>
      <w:proofErr w:type="spellEnd"/>
      <w:r>
        <w:t xml:space="preserve">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туристичког</w:t>
      </w:r>
      <w:proofErr w:type="spellEnd"/>
      <w:r>
        <w:t xml:space="preserve">, </w:t>
      </w:r>
      <w:proofErr w:type="spellStart"/>
      <w:r>
        <w:t>економског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смера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rPr>
          <w:lang w:val="sr-Cyrl-CS"/>
        </w:rPr>
        <w:t xml:space="preserve">, </w:t>
      </w:r>
      <w:r>
        <w:rPr>
          <w:lang w:val="ru-RU"/>
        </w:rPr>
        <w:t xml:space="preserve">има радно искуство у туристичкој делатности у трајању од три године за рад код организатора путовања односно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rPr>
          <w:lang w:val="sr-Cyrl-CS"/>
        </w:rPr>
        <w:t>); 2)</w:t>
      </w:r>
      <w:r>
        <w:rPr>
          <w:lang w:val="sr-Cyrl-CS"/>
        </w:rPr>
        <w:tab/>
      </w:r>
      <w:r>
        <w:rPr>
          <w:bCs/>
          <w:lang w:val="ru-RU"/>
        </w:rPr>
        <w:t>које</w:t>
      </w:r>
      <w:r>
        <w:rPr>
          <w:lang w:val="sr-Cyrl-CS"/>
        </w:rPr>
        <w:t xml:space="preserve"> се не налази у поступку стечаја или ликвидације; 3) коме није одузета лиценца из разлога наведених у члану </w:t>
      </w:r>
      <w:r>
        <w:rPr>
          <w:color w:val="000000"/>
          <w:lang w:val="sr-Cyrl-CS"/>
        </w:rPr>
        <w:t>55. став 1. овог</w:t>
      </w:r>
      <w:r>
        <w:rPr>
          <w:lang w:val="sr-Cyrl-CS"/>
        </w:rPr>
        <w:t xml:space="preserve"> закона; 4) коме није изречена заштитна мера забране обављања делатности, за време док забрана траје, нити је одговорном лицу изречена мера безбедности забране вршења делатности, позива и дужности; 5)</w:t>
      </w:r>
      <w:r>
        <w:rPr>
          <w:lang w:val="sr-Latn-CS"/>
        </w:rPr>
        <w:t xml:space="preserve"> </w:t>
      </w:r>
      <w:r>
        <w:rPr>
          <w:b/>
          <w:bCs/>
          <w:lang w:val="ru-RU"/>
        </w:rPr>
        <w:t>које</w:t>
      </w:r>
      <w:r>
        <w:rPr>
          <w:b/>
          <w:lang w:val="sr-Cyrl-CS"/>
        </w:rPr>
        <w:t xml:space="preserve"> има важећу полису осигурања од одговорности из делатности. </w:t>
      </w:r>
    </w:p>
    <w:p w:rsidR="00483E2E" w:rsidRDefault="00483E2E" w:rsidP="00483E2E">
      <w:pPr>
        <w:ind w:firstLine="720"/>
        <w:jc w:val="both"/>
        <w:rPr>
          <w:lang w:val="sr-Latn-CS"/>
        </w:rPr>
      </w:pPr>
    </w:p>
    <w:p w:rsidR="00483E2E" w:rsidRDefault="00483E2E" w:rsidP="00483E2E">
      <w:pPr>
        <w:ind w:firstLine="720"/>
        <w:jc w:val="both"/>
      </w:pPr>
      <w:r>
        <w:rPr>
          <w:lang w:val="sr-Cyrl-CS"/>
        </w:rPr>
        <w:t>О</w:t>
      </w:r>
      <w:r>
        <w:rPr>
          <w:lang w:val="ru-RU"/>
        </w:rPr>
        <w:t>дредбом члана 51. став 7. Закона о туризму предвиђено да се на питања која се односе на поступак издавања лиценци, поступање по непотпуном и неразумљивом захтеву за издавање лиценце и промену података регистрованих у Регистру туризма која овим законом нису посебно уређена сходно примењују одговарајуће одредбе закона којим се уређује регистрација привредних субјеката, а уколико тим законом нису уређена поједина питања сходно се примењују одговарајуће одредбе закона којим се уређује управни поступак.</w:t>
      </w:r>
    </w:p>
    <w:p w:rsidR="00483E2E" w:rsidRDefault="00483E2E" w:rsidP="00483E2E">
      <w:pPr>
        <w:pStyle w:val="NoSpacing"/>
        <w:ind w:firstLine="708"/>
        <w:jc w:val="both"/>
        <w:rPr>
          <w:rFonts w:cs="Calibri"/>
        </w:rPr>
      </w:pPr>
    </w:p>
    <w:p w:rsidR="00483E2E" w:rsidRDefault="00483E2E" w:rsidP="00483E2E">
      <w:pPr>
        <w:pStyle w:val="NoSpacing"/>
        <w:ind w:firstLine="708"/>
        <w:jc w:val="both"/>
        <w:rPr>
          <w:color w:val="000000"/>
        </w:rPr>
      </w:pPr>
      <w:r>
        <w:rPr>
          <w:rFonts w:cs="Calibri"/>
        </w:rPr>
        <w:t>Одредбом члана 14. став 1. тачка 2.  Закона о поступку регистрације у Агенцији за привредне регистре (Службени гласник РС 99/2011) прописано је да по пријему пријаве регистратор проверава да ли је пријаву поднело овлашћено лице.</w:t>
      </w:r>
    </w:p>
    <w:p w:rsidR="00483E2E" w:rsidRDefault="00483E2E" w:rsidP="00483E2E">
      <w:pPr>
        <w:pStyle w:val="NoSpacing"/>
        <w:ind w:firstLine="708"/>
        <w:jc w:val="both"/>
        <w:rPr>
          <w:color w:val="000000"/>
        </w:rPr>
      </w:pPr>
    </w:p>
    <w:p w:rsidR="00483E2E" w:rsidRDefault="00483E2E" w:rsidP="00483E2E">
      <w:pPr>
        <w:pStyle w:val="NoSpacing"/>
        <w:ind w:firstLine="708"/>
        <w:jc w:val="both"/>
        <w:rPr>
          <w:color w:val="000000"/>
          <w:lang w:val="en-US"/>
        </w:rPr>
      </w:pPr>
      <w:r>
        <w:rPr>
          <w:color w:val="000000"/>
          <w:lang w:val="sr-Cyrl-CS"/>
        </w:rPr>
        <w:t xml:space="preserve">Одредбом члана 47. став 1. Закона о општем управном поступку ("Сл. лист СРЈ", бр. 33/97 и 31/2001 и "Сл. гласник РС", бр. 30/2010) прописано је да </w:t>
      </w:r>
      <w:r>
        <w:rPr>
          <w:lang w:val="sr-Cyrl-CS"/>
        </w:rPr>
        <w:t>с</w:t>
      </w:r>
      <w:r>
        <w:t xml:space="preserve">транка, односно њен законски заступник може одредити пуномоћника који ће заступати странку у поступку, осим у радњама у којима је потребно да сама странка даје изјаве. </w:t>
      </w:r>
    </w:p>
    <w:p w:rsidR="00483E2E" w:rsidRDefault="00483E2E" w:rsidP="00483E2E">
      <w:pPr>
        <w:ind w:firstLine="708"/>
        <w:jc w:val="both"/>
        <w:rPr>
          <w:color w:val="000000"/>
          <w:lang w:val="sr-Latn-CS"/>
        </w:rPr>
      </w:pPr>
    </w:p>
    <w:p w:rsidR="00483E2E" w:rsidRDefault="00483E2E" w:rsidP="00483E2E">
      <w:pPr>
        <w:ind w:firstLine="708"/>
        <w:jc w:val="both"/>
        <w:rPr>
          <w:lang w:val="ru-RU"/>
        </w:rPr>
      </w:pPr>
      <w:r>
        <w:rPr>
          <w:color w:val="000000"/>
          <w:lang w:val="sr-Cyrl-CS"/>
        </w:rPr>
        <w:t xml:space="preserve">Одредбом члана 6. </w:t>
      </w:r>
      <w:r>
        <w:rPr>
          <w:lang w:val="sr-Cyrl-CS"/>
        </w:rPr>
        <w:t xml:space="preserve">Закона о поступку регистрације у Агенцији за привредне регистре, </w:t>
      </w:r>
      <w:r>
        <w:rPr>
          <w:color w:val="000000"/>
          <w:lang w:val="sr-Cyrl-CS"/>
        </w:rPr>
        <w:t> прописано је да се п</w:t>
      </w:r>
      <w:proofErr w:type="spellStart"/>
      <w:r>
        <w:t>ријава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, </w:t>
      </w:r>
      <w:r>
        <w:rPr>
          <w:lang w:val="sr-Cyrl-CS"/>
        </w:rPr>
        <w:t xml:space="preserve">да се пријава подноси у </w:t>
      </w:r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поднеска</w:t>
      </w:r>
      <w:proofErr w:type="spellEnd"/>
      <w:r>
        <w:rPr>
          <w:lang w:val="sr-Cyrl-CS"/>
        </w:rPr>
        <w:t xml:space="preserve">. Истим чланом прописана је и садржина поднеска. </w:t>
      </w:r>
    </w:p>
    <w:p w:rsidR="00483E2E" w:rsidRDefault="00483E2E" w:rsidP="00483E2E">
      <w:pPr>
        <w:ind w:firstLine="576"/>
        <w:jc w:val="both"/>
        <w:rPr>
          <w:color w:val="000000"/>
          <w:lang w:val="sr-Latn-CS"/>
        </w:rPr>
      </w:pPr>
    </w:p>
    <w:p w:rsidR="00483E2E" w:rsidRDefault="00483E2E" w:rsidP="00483E2E">
      <w:pPr>
        <w:ind w:firstLine="576"/>
        <w:jc w:val="both"/>
      </w:pPr>
      <w:r>
        <w:rPr>
          <w:color w:val="000000"/>
          <w:lang w:val="sr-Cyrl-CS"/>
        </w:rPr>
        <w:t>Увидом у поднету документацију утврђено је да захтев није поднео Иван Новчић као овлашћени заступник привредног субјекта,</w:t>
      </w:r>
      <w:r>
        <w:rPr>
          <w:lang w:val="sr-Cyrl-CS"/>
        </w:rPr>
        <w:t xml:space="preserve"> већ </w:t>
      </w:r>
      <w:r>
        <w:rPr>
          <w:color w:val="000000"/>
          <w:lang w:val="sr-Cyrl-CS"/>
        </w:rPr>
        <w:t xml:space="preserve">Милош Бранковић, без потребног </w:t>
      </w:r>
      <w:r>
        <w:rPr>
          <w:color w:val="000000"/>
          <w:lang w:val="sr-Cyrl-CS"/>
        </w:rPr>
        <w:lastRenderedPageBreak/>
        <w:t xml:space="preserve">овлашћења, </w:t>
      </w:r>
      <w:r>
        <w:rPr>
          <w:lang w:val="sr-Cyrl-CS"/>
        </w:rPr>
        <w:t xml:space="preserve">што је у супротности са </w:t>
      </w:r>
      <w:r>
        <w:rPr>
          <w:color w:val="000000"/>
          <w:lang w:val="sr-Cyrl-CS"/>
        </w:rPr>
        <w:t xml:space="preserve">наведеном законском одредбом, као и да </w:t>
      </w:r>
      <w:r>
        <w:rPr>
          <w:lang w:val="sr-Cyrl-CS"/>
        </w:rPr>
        <w:t>захтев за регистрацију промене података о туристичкој агенцији није попуњен у делу података о туристичкој агенцији – називу туристичке агенције</w:t>
      </w:r>
      <w:r>
        <w:t>.</w:t>
      </w:r>
    </w:p>
    <w:p w:rsidR="00483E2E" w:rsidRDefault="00483E2E" w:rsidP="00483E2E">
      <w:pPr>
        <w:tabs>
          <w:tab w:val="left" w:pos="1152"/>
        </w:tabs>
        <w:autoSpaceDE w:val="0"/>
        <w:autoSpaceDN w:val="0"/>
        <w:adjustRightInd w:val="0"/>
        <w:jc w:val="both"/>
        <w:rPr>
          <w:lang w:val="sr-Latn-CS"/>
        </w:rPr>
      </w:pPr>
    </w:p>
    <w:p w:rsidR="00483E2E" w:rsidRDefault="00483E2E" w:rsidP="00483E2E">
      <w:pPr>
        <w:tabs>
          <w:tab w:val="left" w:pos="1152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ru-RU"/>
        </w:rPr>
        <w:t>Увидом у достављену документацију утврђено је да није достављена законом прописана документација неопходна за усвајање захтева</w:t>
      </w:r>
      <w:r>
        <w:rPr>
          <w:lang w:val="sr-Cyrl-CS"/>
        </w:rPr>
        <w:t>.</w:t>
      </w:r>
    </w:p>
    <w:p w:rsidR="00483E2E" w:rsidRDefault="00483E2E" w:rsidP="00483E2E">
      <w:pPr>
        <w:jc w:val="both"/>
      </w:pPr>
      <w:r>
        <w:rPr>
          <w:lang w:val="sr-Cyrl-CS"/>
        </w:rPr>
        <w:t>С обзиром на наведено, а у складу са одредбом члана 17. став 2. Закона о поступку регистрације у Агенцији за привредне регистре, Регистратор је одлучио као у диспозитиву.</w:t>
      </w:r>
    </w:p>
    <w:p w:rsidR="00483E2E" w:rsidRDefault="00483E2E" w:rsidP="00483E2E">
      <w:pPr>
        <w:ind w:firstLine="300"/>
        <w:jc w:val="both"/>
        <w:rPr>
          <w:b/>
          <w:lang w:val="sr-Latn-CS"/>
        </w:rPr>
      </w:pPr>
    </w:p>
    <w:p w:rsidR="00483E2E" w:rsidRDefault="00483E2E" w:rsidP="00483E2E">
      <w:pPr>
        <w:ind w:firstLine="300"/>
        <w:jc w:val="both"/>
        <w:rPr>
          <w:b/>
          <w:lang w:val="sr-Latn-CS"/>
        </w:rPr>
      </w:pPr>
    </w:p>
    <w:p w:rsidR="00483E2E" w:rsidRDefault="00483E2E" w:rsidP="00483E2E">
      <w:pPr>
        <w:ind w:firstLine="300"/>
        <w:jc w:val="both"/>
        <w:rPr>
          <w:b/>
          <w:lang w:val="sr-Latn-CS"/>
        </w:rPr>
      </w:pPr>
    </w:p>
    <w:p w:rsidR="00483E2E" w:rsidRDefault="00483E2E" w:rsidP="00483E2E">
      <w:pPr>
        <w:ind w:firstLine="300"/>
        <w:jc w:val="both"/>
        <w:rPr>
          <w:b/>
          <w:lang w:val="sr-Latn-CS"/>
        </w:rPr>
      </w:pPr>
    </w:p>
    <w:p w:rsidR="00483E2E" w:rsidRDefault="00483E2E" w:rsidP="00483E2E">
      <w:pPr>
        <w:ind w:firstLine="300"/>
        <w:jc w:val="both"/>
        <w:rPr>
          <w:b/>
          <w:lang w:val="sr-Latn-CS"/>
        </w:rPr>
      </w:pPr>
    </w:p>
    <w:p w:rsidR="00483E2E" w:rsidRDefault="00483E2E" w:rsidP="00483E2E">
      <w:pPr>
        <w:ind w:firstLine="300"/>
        <w:jc w:val="both"/>
        <w:rPr>
          <w:b/>
          <w:lang w:val="sr-Latn-CS"/>
        </w:rPr>
      </w:pPr>
      <w:r>
        <w:rPr>
          <w:b/>
          <w:lang w:val="sr-Cyrl-CS"/>
        </w:rPr>
        <w:t>Ако подносилац регистрационе пријаве, а у складу са одредбом члана 17. став 3. Закона о поступку регистрације у Агенцији за привредне регистре, у року од 30 дана од дана објављивања овог решења на интернет страни Агенције:</w:t>
      </w:r>
    </w:p>
    <w:p w:rsidR="00483E2E" w:rsidRDefault="00483E2E" w:rsidP="00483E2E">
      <w:pPr>
        <w:ind w:firstLine="300"/>
        <w:jc w:val="both"/>
        <w:rPr>
          <w:b/>
          <w:lang w:val="sr-Latn-CS"/>
        </w:rPr>
      </w:pPr>
    </w:p>
    <w:p w:rsidR="00483E2E" w:rsidRDefault="00483E2E" w:rsidP="00483E2E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 xml:space="preserve">Поднесе регистрациону пријаву за регистрацију података о чијој регистрацији је одлучено решењем – захтев за промену података о полиси осигурања и општим условима путовања поднету од стране лица овлашћеног за заступање или уредно пуномоћје дато </w:t>
      </w:r>
      <w:r>
        <w:rPr>
          <w:b/>
          <w:color w:val="000000"/>
          <w:lang w:val="sr-Cyrl-CS"/>
        </w:rPr>
        <w:t>Милош Бранковићу</w:t>
      </w:r>
      <w:r>
        <w:rPr>
          <w:b/>
          <w:lang w:val="sr-Cyrl-CS"/>
        </w:rPr>
        <w:t xml:space="preserve"> од стране заступника, и попуњену у делу података о називу туристичке агенције  </w:t>
      </w:r>
    </w:p>
    <w:p w:rsidR="00483E2E" w:rsidRDefault="00483E2E" w:rsidP="00483E2E"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плати половину од износа прописане накнаде за регистрацију која је предмет пријаве </w:t>
      </w:r>
    </w:p>
    <w:p w:rsidR="00483E2E" w:rsidRDefault="00483E2E" w:rsidP="00483E2E">
      <w:pPr>
        <w:ind w:left="540"/>
        <w:jc w:val="both"/>
        <w:rPr>
          <w:b/>
          <w:lang w:val="sr-Cyrl-CS"/>
        </w:rPr>
      </w:pPr>
      <w:r>
        <w:rPr>
          <w:b/>
          <w:lang w:val="sr-Cyrl-CS"/>
        </w:rPr>
        <w:t xml:space="preserve">задржава право приоритета одлучивања засновано подношењем пријаве одбачене овим решењем. </w:t>
      </w:r>
    </w:p>
    <w:p w:rsidR="00483E2E" w:rsidRDefault="00483E2E" w:rsidP="00483E2E">
      <w:pPr>
        <w:ind w:firstLine="300"/>
        <w:jc w:val="both"/>
        <w:rPr>
          <w:lang w:val="sr-Latn-CS"/>
        </w:rPr>
      </w:pPr>
    </w:p>
    <w:p w:rsidR="00483E2E" w:rsidRDefault="00483E2E" w:rsidP="00483E2E">
      <w:pPr>
        <w:ind w:firstLine="300"/>
        <w:jc w:val="both"/>
      </w:pPr>
      <w:r>
        <w:rPr>
          <w:lang w:val="sr-Cyrl-CS"/>
        </w:rPr>
        <w:t>Висина накнаде за вођење поступка регистрације утврђена је Одлуком о накнадама за послове регистрације и друге услуге које пружа Агенција за привредне регистре („Сл. гласник РС“, бр. 5/2012).</w:t>
      </w:r>
    </w:p>
    <w:p w:rsidR="00483E2E" w:rsidRDefault="00483E2E" w:rsidP="00483E2E">
      <w:pPr>
        <w:rPr>
          <w:lang w:val="sr-Latn-CS"/>
        </w:rPr>
      </w:pPr>
    </w:p>
    <w:tbl>
      <w:tblPr>
        <w:tblW w:w="5000" w:type="pct"/>
        <w:tblCellSpacing w:w="15" w:type="dxa"/>
        <w:tblInd w:w="-13" w:type="dxa"/>
        <w:tblLook w:val="00A0"/>
      </w:tblPr>
      <w:tblGrid>
        <w:gridCol w:w="5439"/>
        <w:gridCol w:w="3722"/>
      </w:tblGrid>
      <w:tr w:rsidR="00483E2E" w:rsidTr="00483E2E">
        <w:trPr>
          <w:trHeight w:val="300"/>
          <w:tblCellSpacing w:w="15" w:type="dxa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E2E" w:rsidRDefault="00483E2E">
            <w:pPr>
              <w:rPr>
                <w:lang w:val="sr-Cyrl-CS"/>
              </w:rPr>
            </w:pPr>
            <w:r>
              <w:rPr>
                <w:lang w:val="sr-Cyrl-CS"/>
              </w:rPr>
              <w:t>УПУТСТВО О ПРАВНОМ СРЕДСТВУ</w:t>
            </w:r>
            <w:r>
              <w:rPr>
                <w:lang w:val="sr-Cyrl-CS"/>
              </w:rPr>
              <w:br/>
              <w:t>Против овог решења може се изјавити жалба министру надлежном за за послове туризма, у року од 30 дана од дана објављивања на интернет страни Агенције за привредне регистре, а преко Агенције.</w:t>
            </w:r>
          </w:p>
          <w:p w:rsidR="00483E2E" w:rsidRDefault="00483E2E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E2E" w:rsidRDefault="00483E2E">
            <w:pPr>
              <w:jc w:val="center"/>
            </w:pPr>
            <w:r>
              <w:rPr>
                <w:lang w:val="sr-Cyrl-CS"/>
              </w:rPr>
              <w:t>РЕГИСТРАТОР</w:t>
            </w:r>
            <w:r>
              <w:rPr>
                <w:lang w:val="sr-Cyrl-CS"/>
              </w:rPr>
              <w:br/>
              <w:t>__________________</w:t>
            </w:r>
            <w:r>
              <w:rPr>
                <w:lang w:val="sr-Cyrl-CS"/>
              </w:rPr>
              <w:br/>
            </w:r>
            <w:r>
              <w:rPr>
                <w:lang w:val="sr-Cyrl-CS"/>
              </w:rPr>
              <w:br/>
              <w:t>Миладин Маглов</w:t>
            </w:r>
          </w:p>
        </w:tc>
      </w:tr>
    </w:tbl>
    <w:p w:rsidR="00483E2E" w:rsidRDefault="00483E2E" w:rsidP="00483E2E"/>
    <w:p w:rsidR="00E40389" w:rsidRDefault="00E40389"/>
    <w:sectPr w:rsidR="00E40389" w:rsidSect="00E4038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5760"/>
    <w:multiLevelType w:val="hybridMultilevel"/>
    <w:tmpl w:val="9C8072CE"/>
    <w:lvl w:ilvl="0" w:tplc="30E07D04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07EC7"/>
    <w:multiLevelType w:val="multilevel"/>
    <w:tmpl w:val="F93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83E2E"/>
    <w:rsid w:val="00483E2E"/>
    <w:rsid w:val="00E4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483E2E"/>
    <w:pPr>
      <w:ind w:left="720"/>
      <w:contextualSpacing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dmarkovic</dc:creator>
  <cp:lastModifiedBy>dmarkovic</cp:lastModifiedBy>
  <cp:revision>1</cp:revision>
  <dcterms:created xsi:type="dcterms:W3CDTF">2012-06-20T07:47:00Z</dcterms:created>
  <dcterms:modified xsi:type="dcterms:W3CDTF">2012-06-20T07:51:00Z</dcterms:modified>
</cp:coreProperties>
</file>